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BDFD9" w14:textId="77777777" w:rsidR="000F37E9" w:rsidRDefault="000F37E9" w:rsidP="006402B8">
      <w:pPr>
        <w:spacing w:line="276" w:lineRule="auto"/>
        <w:rPr>
          <w:b/>
          <w:bCs/>
          <w:color w:val="EE0000"/>
          <w:sz w:val="32"/>
          <w:szCs w:val="32"/>
        </w:rPr>
      </w:pPr>
    </w:p>
    <w:p w14:paraId="17F977A3" w14:textId="4EAD1C84" w:rsidR="000F37E9" w:rsidRPr="000F37E9" w:rsidRDefault="000F37E9" w:rsidP="000F37E9">
      <w:pPr>
        <w:spacing w:line="276" w:lineRule="auto"/>
        <w:jc w:val="center"/>
        <w:rPr>
          <w:sz w:val="26"/>
          <w:szCs w:val="26"/>
        </w:rPr>
      </w:pPr>
      <w:r w:rsidRPr="000F37E9">
        <w:rPr>
          <w:b/>
          <w:bCs/>
          <w:color w:val="EE0000"/>
          <w:sz w:val="32"/>
          <w:szCs w:val="32"/>
        </w:rPr>
        <w:t>ORIENTATION PROGRAMME ON</w:t>
      </w:r>
      <w:r w:rsidRPr="000F37E9">
        <w:rPr>
          <w:b/>
          <w:bCs/>
          <w:color w:val="EE0000"/>
          <w:sz w:val="32"/>
          <w:szCs w:val="32"/>
        </w:rPr>
        <w:br/>
        <w:t>EXAMINATION &amp; ACADEMIC ADMINISTRATION</w:t>
      </w:r>
      <w:r w:rsidRPr="000F37E9">
        <w:rPr>
          <w:sz w:val="26"/>
          <w:szCs w:val="26"/>
        </w:rPr>
        <w:br/>
      </w:r>
      <w:r w:rsidRPr="000F37E9">
        <w:rPr>
          <w:b/>
          <w:bCs/>
          <w:sz w:val="26"/>
          <w:szCs w:val="26"/>
        </w:rPr>
        <w:t>Organized by IQAC</w:t>
      </w:r>
    </w:p>
    <w:p w14:paraId="586F6CFF" w14:textId="77777777" w:rsidR="000F37E9" w:rsidRPr="000F37E9" w:rsidRDefault="000F37E9" w:rsidP="006402B8">
      <w:pPr>
        <w:spacing w:line="276" w:lineRule="auto"/>
        <w:ind w:firstLine="720"/>
        <w:jc w:val="both"/>
        <w:rPr>
          <w:sz w:val="26"/>
          <w:szCs w:val="26"/>
        </w:rPr>
      </w:pPr>
      <w:r w:rsidRPr="000F37E9">
        <w:rPr>
          <w:sz w:val="26"/>
          <w:szCs w:val="26"/>
        </w:rPr>
        <w:t xml:space="preserve">An Orientation Programme on </w:t>
      </w:r>
      <w:r w:rsidRPr="000F37E9">
        <w:rPr>
          <w:b/>
          <w:bCs/>
          <w:sz w:val="26"/>
          <w:szCs w:val="26"/>
        </w:rPr>
        <w:t>Examination &amp; Academic Administration</w:t>
      </w:r>
      <w:r w:rsidRPr="000F37E9">
        <w:rPr>
          <w:sz w:val="26"/>
          <w:szCs w:val="26"/>
        </w:rPr>
        <w:t xml:space="preserve"> was successfully organized by the Internal Quality Assurance Cell (IQAC) of the institution with the objective of strengthening academic governance, examination procedures, and institutional quality standards. The programme aimed to sensitize faculty members about systematic academic planning, transparent examination processes, documentation practices, and adherence to quality benchmarks in line with NAAC guidelines.</w:t>
      </w:r>
    </w:p>
    <w:p w14:paraId="45B56919" w14:textId="1E48356E" w:rsidR="000F37E9" w:rsidRPr="000F37E9" w:rsidRDefault="000F37E9" w:rsidP="006402B8">
      <w:pPr>
        <w:spacing w:line="276" w:lineRule="auto"/>
        <w:ind w:firstLine="720"/>
        <w:jc w:val="both"/>
        <w:rPr>
          <w:sz w:val="26"/>
          <w:szCs w:val="26"/>
        </w:rPr>
      </w:pPr>
      <w:r w:rsidRPr="000F37E9">
        <w:rPr>
          <w:sz w:val="26"/>
          <w:szCs w:val="26"/>
        </w:rPr>
        <w:t xml:space="preserve">The programme was conducted under the able leadership of the Principal, </w:t>
      </w:r>
      <w:r w:rsidR="006402B8">
        <w:rPr>
          <w:sz w:val="26"/>
          <w:szCs w:val="26"/>
        </w:rPr>
        <w:t xml:space="preserve">                 </w:t>
      </w:r>
      <w:r w:rsidRPr="000F37E9">
        <w:rPr>
          <w:sz w:val="26"/>
          <w:szCs w:val="26"/>
        </w:rPr>
        <w:t>Dr.</w:t>
      </w:r>
      <w:r w:rsidRPr="000F37E9">
        <w:rPr>
          <w:b/>
          <w:bCs/>
          <w:sz w:val="26"/>
          <w:szCs w:val="26"/>
        </w:rPr>
        <w:t xml:space="preserve"> </w:t>
      </w:r>
      <w:r w:rsidRPr="000F37E9">
        <w:rPr>
          <w:sz w:val="26"/>
          <w:szCs w:val="26"/>
        </w:rPr>
        <w:t>M. Venkatesulu, who played a pivotal role in guiding the academic and administrative reforms of the institution. All faculty members actively participated in the session, making it an interactive and insightful academic gathering.</w:t>
      </w:r>
    </w:p>
    <w:p w14:paraId="5B8DC497" w14:textId="51EC0064" w:rsidR="000F37E9" w:rsidRPr="000F37E9" w:rsidRDefault="000F37E9" w:rsidP="006402B8">
      <w:pPr>
        <w:spacing w:line="276" w:lineRule="auto"/>
        <w:ind w:firstLine="720"/>
        <w:jc w:val="both"/>
        <w:rPr>
          <w:sz w:val="26"/>
          <w:szCs w:val="26"/>
        </w:rPr>
      </w:pPr>
      <w:r w:rsidRPr="000F37E9">
        <w:rPr>
          <w:sz w:val="26"/>
          <w:szCs w:val="26"/>
        </w:rPr>
        <w:t xml:space="preserve">The programme commenced with a formal welcome by the IQAC </w:t>
      </w:r>
      <w:r w:rsidR="006402B8" w:rsidRPr="000F37E9">
        <w:rPr>
          <w:sz w:val="26"/>
          <w:szCs w:val="26"/>
        </w:rPr>
        <w:t xml:space="preserve">Coordinator, </w:t>
      </w:r>
      <w:r w:rsidR="006402B8">
        <w:rPr>
          <w:sz w:val="26"/>
          <w:szCs w:val="26"/>
        </w:rPr>
        <w:t xml:space="preserve">                     </w:t>
      </w:r>
      <w:r w:rsidRPr="000F37E9">
        <w:rPr>
          <w:sz w:val="26"/>
          <w:szCs w:val="26"/>
        </w:rPr>
        <w:t>Dr. Shaik Benazeer, who highlighted the importance of structured academic administration in higher education institutions. In the opening remarks, it was emphasized that effective academic administration is the backbone of institutional excellence. The Coordinator outlined the objectives of the orientation programme, which included improving examination transparency, strengthening internal assessment mechanisms, ensuring proper documentation, and aligning institutional practices with quality assurance frameworks.</w:t>
      </w:r>
    </w:p>
    <w:p w14:paraId="68BBACE5" w14:textId="77777777" w:rsidR="000F37E9" w:rsidRPr="000F37E9" w:rsidRDefault="000F37E9" w:rsidP="006402B8">
      <w:pPr>
        <w:spacing w:line="276" w:lineRule="auto"/>
        <w:ind w:firstLine="720"/>
        <w:jc w:val="both"/>
        <w:rPr>
          <w:sz w:val="26"/>
          <w:szCs w:val="26"/>
        </w:rPr>
      </w:pPr>
      <w:r w:rsidRPr="000F37E9">
        <w:rPr>
          <w:sz w:val="26"/>
          <w:szCs w:val="26"/>
        </w:rPr>
        <w:t>The Principal, Dr. M. Venkatesulu, delivered the keynote address and presented a detailed PowerPoint presentation on Examination Reforms and Academic Administration. In his presentation, he elaborated on the importance of systematic planning of the academic calendar, preparation of lesson plans, maintenance of attendance registers, conduct of internal assessments, and timely completion of syllabus. He stressed that examinations are not merely evaluative tools but instruments to measure learning outcomes and academic progress.</w:t>
      </w:r>
    </w:p>
    <w:p w14:paraId="02E4B772" w14:textId="7F1BA6C4" w:rsidR="000F37E9" w:rsidRPr="000F37E9" w:rsidRDefault="000F37E9" w:rsidP="006402B8">
      <w:pPr>
        <w:spacing w:line="276" w:lineRule="auto"/>
        <w:ind w:firstLine="720"/>
        <w:jc w:val="both"/>
        <w:rPr>
          <w:sz w:val="26"/>
          <w:szCs w:val="26"/>
        </w:rPr>
      </w:pPr>
      <w:r w:rsidRPr="000F37E9">
        <w:rPr>
          <w:sz w:val="26"/>
          <w:szCs w:val="26"/>
        </w:rPr>
        <w:t>Dr.</w:t>
      </w:r>
      <w:r w:rsidR="006402B8">
        <w:rPr>
          <w:sz w:val="26"/>
          <w:szCs w:val="26"/>
        </w:rPr>
        <w:t xml:space="preserve"> M.</w:t>
      </w:r>
      <w:r w:rsidRPr="000F37E9">
        <w:rPr>
          <w:sz w:val="26"/>
          <w:szCs w:val="26"/>
        </w:rPr>
        <w:t xml:space="preserve"> Venkatesulu explained the need for strict adherence to examination guidelines, confidentiality in question paper setting, transparent valuation procedures, </w:t>
      </w:r>
      <w:r w:rsidRPr="000F37E9">
        <w:rPr>
          <w:sz w:val="26"/>
          <w:szCs w:val="26"/>
        </w:rPr>
        <w:lastRenderedPageBreak/>
        <w:t>and timely declaration of results. He emphasized that maintaining fairness and credibility in examinations enhances the reputation of the institution. He also discussed the importance of continuous internal assessment (CIA), assignment evaluation, project work, seminars, and student presentations as part of a holistic evaluation system.</w:t>
      </w:r>
    </w:p>
    <w:p w14:paraId="1B5E3342" w14:textId="77777777" w:rsidR="000F37E9" w:rsidRPr="000F37E9" w:rsidRDefault="000F37E9" w:rsidP="001D0E0F">
      <w:pPr>
        <w:spacing w:line="276" w:lineRule="auto"/>
        <w:ind w:firstLine="720"/>
        <w:jc w:val="both"/>
        <w:rPr>
          <w:sz w:val="26"/>
          <w:szCs w:val="26"/>
        </w:rPr>
      </w:pPr>
      <w:r w:rsidRPr="000F37E9">
        <w:rPr>
          <w:sz w:val="26"/>
          <w:szCs w:val="26"/>
        </w:rPr>
        <w:t>During the session, special focus was given to academic documentation, which is essential for accreditation and quality audits. Faculty members were instructed to maintain proper records such as teaching diaries, attendance registers, internal marks registers, mentoring records, feedback analysis reports, and course files. The Principal highlighted that systematic documentation supports institutional accountability and plays a crucial role during NAAC peer team visits.</w:t>
      </w:r>
    </w:p>
    <w:p w14:paraId="07E13037" w14:textId="77777777" w:rsidR="000F37E9" w:rsidRPr="000F37E9" w:rsidRDefault="000F37E9" w:rsidP="001D0E0F">
      <w:pPr>
        <w:spacing w:line="276" w:lineRule="auto"/>
        <w:ind w:firstLine="720"/>
        <w:jc w:val="both"/>
        <w:rPr>
          <w:sz w:val="26"/>
          <w:szCs w:val="26"/>
        </w:rPr>
      </w:pPr>
      <w:r w:rsidRPr="000F37E9">
        <w:rPr>
          <w:sz w:val="26"/>
          <w:szCs w:val="26"/>
        </w:rPr>
        <w:t>The programme also covered the role of departments in academic planning and monitoring. Heads of Departments were advised to conduct regular departmental meetings, review syllabus completion, monitor student performance, and implement remedial measures for slow learners. Emphasis was laid on mentoring systems to ensure personalized academic guidance for students.</w:t>
      </w:r>
    </w:p>
    <w:p w14:paraId="6503722A" w14:textId="77777777" w:rsidR="000F37E9" w:rsidRPr="000F37E9" w:rsidRDefault="000F37E9" w:rsidP="001D0E0F">
      <w:pPr>
        <w:spacing w:line="276" w:lineRule="auto"/>
        <w:ind w:firstLine="720"/>
        <w:jc w:val="both"/>
        <w:rPr>
          <w:sz w:val="26"/>
          <w:szCs w:val="26"/>
        </w:rPr>
      </w:pPr>
      <w:r w:rsidRPr="000F37E9">
        <w:rPr>
          <w:sz w:val="26"/>
          <w:szCs w:val="26"/>
        </w:rPr>
        <w:t>IQAC Coordinator Dr. Shaik Benazeer also presented a comprehensive PPT on Quality Initiatives in Academic Administration. The presentation focused on Outcome-Based Education (OBE), Programme Outcomes (POs), Course Outcomes (COs), and their mapping with assessment methods. Faculty members were guided on preparing CO-PO attainment reports and analyzing student performance data for continuous improvement.</w:t>
      </w:r>
    </w:p>
    <w:p w14:paraId="503F9A56" w14:textId="77777777" w:rsidR="000F37E9" w:rsidRPr="000F37E9" w:rsidRDefault="000F37E9" w:rsidP="001D0E0F">
      <w:pPr>
        <w:spacing w:line="276" w:lineRule="auto"/>
        <w:ind w:firstLine="720"/>
        <w:jc w:val="both"/>
        <w:rPr>
          <w:sz w:val="26"/>
          <w:szCs w:val="26"/>
        </w:rPr>
      </w:pPr>
      <w:r w:rsidRPr="000F37E9">
        <w:rPr>
          <w:sz w:val="26"/>
          <w:szCs w:val="26"/>
        </w:rPr>
        <w:t>Dr. Benazeer stressed the significance of academic audits, feedback mechanisms from students, and result analysis to identify gaps in teaching-learning processes. She highlighted that IQAC plays a vital role in ensuring quality benchmarks, introducing best practices, and promoting a learner-centric environment.</w:t>
      </w:r>
    </w:p>
    <w:p w14:paraId="3310B05B" w14:textId="77777777" w:rsidR="000F37E9" w:rsidRPr="000F37E9" w:rsidRDefault="000F37E9" w:rsidP="001D0E0F">
      <w:pPr>
        <w:spacing w:line="276" w:lineRule="auto"/>
        <w:ind w:firstLine="720"/>
        <w:jc w:val="both"/>
        <w:rPr>
          <w:sz w:val="26"/>
          <w:szCs w:val="26"/>
        </w:rPr>
      </w:pPr>
      <w:r w:rsidRPr="000F37E9">
        <w:rPr>
          <w:sz w:val="26"/>
          <w:szCs w:val="26"/>
        </w:rPr>
        <w:t>The orientation programme also discussed the integration of technology in examination and academic administration. Faculty members were encouraged to use digital tools for attendance tracking, online assessments, e-content development, and maintaining digital records. The importance of transparency, accountability, and ethical practices in academic administration was reiterated throughout the session.</w:t>
      </w:r>
    </w:p>
    <w:p w14:paraId="224A681B" w14:textId="77777777" w:rsidR="000F37E9" w:rsidRPr="000F37E9" w:rsidRDefault="000F37E9" w:rsidP="001D0E0F">
      <w:pPr>
        <w:spacing w:line="276" w:lineRule="auto"/>
        <w:ind w:firstLine="720"/>
        <w:jc w:val="both"/>
        <w:rPr>
          <w:sz w:val="26"/>
          <w:szCs w:val="26"/>
        </w:rPr>
      </w:pPr>
      <w:r w:rsidRPr="000F37E9">
        <w:rPr>
          <w:sz w:val="26"/>
          <w:szCs w:val="26"/>
        </w:rPr>
        <w:t xml:space="preserve">An interactive discussion session followed the presentations, where faculty members clarified doubts related to internal assessments, record maintenance, </w:t>
      </w:r>
      <w:r w:rsidRPr="000F37E9">
        <w:rPr>
          <w:sz w:val="26"/>
          <w:szCs w:val="26"/>
        </w:rPr>
        <w:lastRenderedPageBreak/>
        <w:t>mentoring practices, and examination procedures. The Principal addressed queries and provided practical solutions to ensure smooth implementation of academic policies.</w:t>
      </w:r>
    </w:p>
    <w:p w14:paraId="1B888D82" w14:textId="77777777" w:rsidR="000F37E9" w:rsidRPr="000F37E9" w:rsidRDefault="000F37E9" w:rsidP="001D0E0F">
      <w:pPr>
        <w:spacing w:line="276" w:lineRule="auto"/>
        <w:ind w:firstLine="720"/>
        <w:jc w:val="both"/>
        <w:rPr>
          <w:sz w:val="26"/>
          <w:szCs w:val="26"/>
        </w:rPr>
      </w:pPr>
      <w:r w:rsidRPr="000F37E9">
        <w:rPr>
          <w:sz w:val="26"/>
          <w:szCs w:val="26"/>
        </w:rPr>
        <w:t>The programme concluded with a vote of thanks, expressing gratitude to the Principal, IQAC Coordinator, Heads of Departments, and faculty members for their active participation and commitment to academic excellence. The orientation programme proved to be highly informative and productive, reinforcing the institution’s dedication to maintaining high standards in examination and academic administration.</w:t>
      </w:r>
    </w:p>
    <w:p w14:paraId="60A96275" w14:textId="74FCB90C" w:rsidR="000F37E9" w:rsidRDefault="00D41870" w:rsidP="00D41870">
      <w:pPr>
        <w:spacing w:line="276" w:lineRule="auto"/>
        <w:ind w:firstLine="720"/>
        <w:jc w:val="both"/>
        <w:rPr>
          <w:sz w:val="26"/>
          <w:szCs w:val="26"/>
        </w:rPr>
      </w:pPr>
      <w:r>
        <w:rPr>
          <w:sz w:val="26"/>
          <w:szCs w:val="26"/>
        </w:rPr>
        <w:t>T</w:t>
      </w:r>
      <w:r w:rsidR="000F37E9" w:rsidRPr="000F37E9">
        <w:rPr>
          <w:sz w:val="26"/>
          <w:szCs w:val="26"/>
        </w:rPr>
        <w:t>he Orientation Programme on Examination &amp; Academic Administration served as a platform to strengthen institutional processes, enhance faculty awareness, and promote a culture of quality and accountability. It reaffirmed the institution’s commitment to continuous improvement, transparency, and academic excellence under the guidance of the Principal and the proactive efforts of IQAC.</w:t>
      </w:r>
    </w:p>
    <w:p w14:paraId="4107E0ED" w14:textId="1E242B1A" w:rsidR="002226FA" w:rsidRPr="002226FA" w:rsidRDefault="002226FA" w:rsidP="002226FA">
      <w:pPr>
        <w:spacing w:line="276" w:lineRule="auto"/>
        <w:jc w:val="both"/>
        <w:rPr>
          <w:sz w:val="26"/>
          <w:szCs w:val="26"/>
        </w:rPr>
      </w:pPr>
      <w:r w:rsidRPr="002226FA">
        <w:rPr>
          <w:noProof/>
          <w:sz w:val="26"/>
          <w:szCs w:val="26"/>
        </w:rPr>
        <w:drawing>
          <wp:inline distT="0" distB="0" distL="0" distR="0" wp14:anchorId="3C3B10FF" wp14:editId="0AFA3D71">
            <wp:extent cx="5731510" cy="4298950"/>
            <wp:effectExtent l="0" t="0" r="2540" b="6350"/>
            <wp:docPr id="1580637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F67A752" w14:textId="77777777" w:rsidR="00C110E1" w:rsidRPr="000F37E9" w:rsidRDefault="00C110E1" w:rsidP="002226FA">
      <w:pPr>
        <w:spacing w:line="276" w:lineRule="auto"/>
        <w:jc w:val="both"/>
        <w:rPr>
          <w:sz w:val="26"/>
          <w:szCs w:val="26"/>
        </w:rPr>
      </w:pPr>
    </w:p>
    <w:p w14:paraId="0F6B8C57" w14:textId="740ACA32" w:rsidR="00E85BB7" w:rsidRDefault="00E85BB7" w:rsidP="00E85BB7">
      <w:pPr>
        <w:spacing w:line="276" w:lineRule="auto"/>
        <w:jc w:val="both"/>
        <w:rPr>
          <w:sz w:val="26"/>
          <w:szCs w:val="26"/>
        </w:rPr>
      </w:pPr>
      <w:r>
        <w:rPr>
          <w:sz w:val="26"/>
          <w:szCs w:val="26"/>
        </w:rPr>
        <w:lastRenderedPageBreak/>
        <w:t xml:space="preserve">   </w:t>
      </w:r>
      <w:r w:rsidRPr="00E85BB7">
        <w:rPr>
          <w:noProof/>
          <w:sz w:val="26"/>
          <w:szCs w:val="26"/>
        </w:rPr>
        <w:drawing>
          <wp:inline distT="0" distB="0" distL="0" distR="0" wp14:anchorId="78E8A0BE" wp14:editId="780FA357">
            <wp:extent cx="5498032" cy="2577353"/>
            <wp:effectExtent l="0" t="0" r="7620" b="0"/>
            <wp:docPr id="1942340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2054" cy="2602677"/>
                    </a:xfrm>
                    <a:prstGeom prst="rect">
                      <a:avLst/>
                    </a:prstGeom>
                    <a:noFill/>
                    <a:ln>
                      <a:noFill/>
                    </a:ln>
                  </pic:spPr>
                </pic:pic>
              </a:graphicData>
            </a:graphic>
          </wp:inline>
        </w:drawing>
      </w:r>
    </w:p>
    <w:p w14:paraId="189EB1DA" w14:textId="543E5C1B" w:rsidR="002A45AE" w:rsidRDefault="002A45AE" w:rsidP="002A45AE">
      <w:pPr>
        <w:spacing w:line="276" w:lineRule="auto"/>
        <w:jc w:val="both"/>
        <w:rPr>
          <w:sz w:val="26"/>
          <w:szCs w:val="26"/>
        </w:rPr>
      </w:pPr>
      <w:r>
        <w:rPr>
          <w:sz w:val="26"/>
          <w:szCs w:val="26"/>
        </w:rPr>
        <w:t xml:space="preserve">   </w:t>
      </w:r>
      <w:r w:rsidRPr="002A45AE">
        <w:rPr>
          <w:noProof/>
          <w:sz w:val="26"/>
          <w:szCs w:val="26"/>
        </w:rPr>
        <w:drawing>
          <wp:inline distT="0" distB="0" distL="0" distR="0" wp14:anchorId="59F49FAE" wp14:editId="237C7134">
            <wp:extent cx="5481917" cy="2465705"/>
            <wp:effectExtent l="0" t="0" r="5080" b="0"/>
            <wp:docPr id="1818912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3962" cy="2475621"/>
                    </a:xfrm>
                    <a:prstGeom prst="rect">
                      <a:avLst/>
                    </a:prstGeom>
                    <a:noFill/>
                    <a:ln>
                      <a:noFill/>
                    </a:ln>
                  </pic:spPr>
                </pic:pic>
              </a:graphicData>
            </a:graphic>
          </wp:inline>
        </w:drawing>
      </w:r>
    </w:p>
    <w:p w14:paraId="2F1121E8" w14:textId="7A81163C" w:rsidR="00F178A5" w:rsidRPr="00F178A5" w:rsidRDefault="00F178A5" w:rsidP="00F178A5">
      <w:pPr>
        <w:spacing w:line="276" w:lineRule="auto"/>
        <w:jc w:val="both"/>
        <w:rPr>
          <w:sz w:val="26"/>
          <w:szCs w:val="26"/>
        </w:rPr>
      </w:pPr>
      <w:r>
        <w:rPr>
          <w:sz w:val="26"/>
          <w:szCs w:val="26"/>
        </w:rPr>
        <w:t xml:space="preserve">   </w:t>
      </w:r>
      <w:r w:rsidRPr="00F178A5">
        <w:rPr>
          <w:noProof/>
          <w:sz w:val="26"/>
          <w:szCs w:val="26"/>
        </w:rPr>
        <w:drawing>
          <wp:inline distT="0" distB="0" distL="0" distR="0" wp14:anchorId="1527B32A" wp14:editId="6B4725A7">
            <wp:extent cx="5480242" cy="2783541"/>
            <wp:effectExtent l="0" t="0" r="6350" b="0"/>
            <wp:docPr id="904934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9547" cy="2808584"/>
                    </a:xfrm>
                    <a:prstGeom prst="rect">
                      <a:avLst/>
                    </a:prstGeom>
                    <a:noFill/>
                    <a:ln>
                      <a:noFill/>
                    </a:ln>
                  </pic:spPr>
                </pic:pic>
              </a:graphicData>
            </a:graphic>
          </wp:inline>
        </w:drawing>
      </w:r>
    </w:p>
    <w:p w14:paraId="05D40DDA" w14:textId="4E1B4909" w:rsidR="002F290D" w:rsidRDefault="00F178A5" w:rsidP="002F290D">
      <w:pPr>
        <w:spacing w:line="276" w:lineRule="auto"/>
        <w:jc w:val="both"/>
        <w:rPr>
          <w:sz w:val="26"/>
          <w:szCs w:val="26"/>
        </w:rPr>
      </w:pPr>
      <w:r>
        <w:rPr>
          <w:sz w:val="26"/>
          <w:szCs w:val="26"/>
        </w:rPr>
        <w:lastRenderedPageBreak/>
        <w:t xml:space="preserve">             </w:t>
      </w:r>
      <w:r w:rsidR="002F290D" w:rsidRPr="002F290D">
        <w:rPr>
          <w:noProof/>
          <w:sz w:val="26"/>
          <w:szCs w:val="26"/>
        </w:rPr>
        <w:drawing>
          <wp:inline distT="0" distB="0" distL="0" distR="0" wp14:anchorId="4BFB6164" wp14:editId="4035CEB1">
            <wp:extent cx="5731510" cy="4298950"/>
            <wp:effectExtent l="0" t="0" r="2540" b="6350"/>
            <wp:docPr id="8766461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A54E98C" w14:textId="1E954577" w:rsidR="003B3FD7" w:rsidRPr="002F290D" w:rsidRDefault="003B3FD7" w:rsidP="002F290D">
      <w:pPr>
        <w:spacing w:line="276" w:lineRule="auto"/>
        <w:jc w:val="both"/>
        <w:rPr>
          <w:sz w:val="26"/>
          <w:szCs w:val="26"/>
        </w:rPr>
      </w:pPr>
      <w:r>
        <w:rPr>
          <w:noProof/>
        </w:rPr>
        <w:drawing>
          <wp:inline distT="0" distB="0" distL="0" distR="0" wp14:anchorId="5F96B427" wp14:editId="6AD31E14">
            <wp:extent cx="5731510" cy="3223895"/>
            <wp:effectExtent l="0" t="0" r="2540" b="0"/>
            <wp:docPr id="3632488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4886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p>
    <w:p w14:paraId="7E41DC87" w14:textId="3324137A" w:rsidR="00685AE5" w:rsidRPr="000F37E9" w:rsidRDefault="00685AE5" w:rsidP="000F37E9">
      <w:pPr>
        <w:spacing w:line="276" w:lineRule="auto"/>
        <w:jc w:val="both"/>
        <w:rPr>
          <w:sz w:val="26"/>
          <w:szCs w:val="26"/>
        </w:rPr>
      </w:pPr>
    </w:p>
    <w:sectPr w:rsidR="00685AE5" w:rsidRPr="000F37E9">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BFE40" w14:textId="77777777" w:rsidR="005E62DD" w:rsidRDefault="005E62DD" w:rsidP="00A66002">
      <w:pPr>
        <w:spacing w:after="0" w:line="240" w:lineRule="auto"/>
      </w:pPr>
      <w:r>
        <w:separator/>
      </w:r>
    </w:p>
  </w:endnote>
  <w:endnote w:type="continuationSeparator" w:id="0">
    <w:p w14:paraId="4A6C2EEF" w14:textId="77777777" w:rsidR="005E62DD" w:rsidRDefault="005E62DD" w:rsidP="00A66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Condensed">
    <w:altName w:val="Arial"/>
    <w:charset w:val="00"/>
    <w:family w:val="swiss"/>
    <w:pitch w:val="variable"/>
    <w:sig w:usb0="80000287" w:usb1="00000000" w:usb2="00000000" w:usb3="00000000" w:csb0="0000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6BBF3" w14:textId="77777777" w:rsidR="005E62DD" w:rsidRDefault="005E62DD" w:rsidP="00A66002">
      <w:pPr>
        <w:spacing w:after="0" w:line="240" w:lineRule="auto"/>
      </w:pPr>
      <w:r>
        <w:separator/>
      </w:r>
    </w:p>
  </w:footnote>
  <w:footnote w:type="continuationSeparator" w:id="0">
    <w:p w14:paraId="09CAC528" w14:textId="77777777" w:rsidR="005E62DD" w:rsidRDefault="005E62DD" w:rsidP="00A66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E596D" w14:textId="4747C436" w:rsidR="00A66002" w:rsidRDefault="00BB31C1" w:rsidP="006402B8">
    <w:pPr>
      <w:pStyle w:val="Header"/>
      <w:jc w:val="center"/>
    </w:pPr>
    <w:r w:rsidRPr="006402B8">
      <w:rPr>
        <w:rFonts w:cstheme="minorHAnsi"/>
        <w:b/>
        <w:bCs/>
        <w:noProof/>
        <w:color w:val="EE0000"/>
        <w:position w:val="-17"/>
        <w:sz w:val="28"/>
        <w:szCs w:val="28"/>
      </w:rPr>
      <w:drawing>
        <wp:anchor distT="0" distB="0" distL="114300" distR="114300" simplePos="0" relativeHeight="251659264" behindDoc="0" locked="0" layoutInCell="1" allowOverlap="1" wp14:anchorId="2D1489A5" wp14:editId="0E1BA0B6">
          <wp:simplePos x="0" y="0"/>
          <wp:positionH relativeFrom="margin">
            <wp:posOffset>-269016</wp:posOffset>
          </wp:positionH>
          <wp:positionV relativeFrom="margin">
            <wp:posOffset>-1035012</wp:posOffset>
          </wp:positionV>
          <wp:extent cx="802005" cy="838200"/>
          <wp:effectExtent l="0" t="0" r="0" b="0"/>
          <wp:wrapSquare wrapText="bothSides"/>
          <wp:docPr id="4" name="Picture 3" descr="SVCR Government Degree College, Palamaner">
            <a:extLst xmlns:a="http://schemas.openxmlformats.org/drawingml/2006/main">
              <a:ext uri="{FF2B5EF4-FFF2-40B4-BE49-F238E27FC236}">
                <a16:creationId xmlns:a16="http://schemas.microsoft.com/office/drawing/2014/main" id="{05013193-23BC-B564-833D-1A44607FB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VCR Government Degree College, Palamaner">
                    <a:extLst>
                      <a:ext uri="{FF2B5EF4-FFF2-40B4-BE49-F238E27FC236}">
                        <a16:creationId xmlns:a16="http://schemas.microsoft.com/office/drawing/2014/main" id="{05013193-23BC-B564-833D-1A44607FBDAC}"/>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002" w:rsidRPr="006402B8">
      <w:rPr>
        <w:rFonts w:cstheme="minorHAnsi"/>
        <w:b/>
        <w:bCs/>
        <w:color w:val="EE0000"/>
        <w:sz w:val="36"/>
        <w:szCs w:val="12"/>
      </w:rPr>
      <w:t>SVCR GOVERNMENT DEGREE COLLEGE</w:t>
    </w:r>
    <w:r w:rsidR="006402B8" w:rsidRPr="006402B8">
      <w:rPr>
        <w:rFonts w:cstheme="minorHAnsi"/>
        <w:b/>
        <w:bCs/>
        <w:color w:val="EE0000"/>
        <w:sz w:val="36"/>
        <w:szCs w:val="12"/>
      </w:rPr>
      <w:t>,PAALAMANER</w:t>
    </w:r>
    <w:r w:rsidR="00A66002" w:rsidRPr="004C32A0">
      <w:rPr>
        <w:rFonts w:ascii="Univers Condensed" w:hAnsi="Univers Condensed"/>
        <w:color w:val="B00000"/>
        <w:sz w:val="52"/>
        <w:szCs w:val="20"/>
      </w:rPr>
      <w:cr/>
    </w:r>
    <w:r w:rsidR="00A66002" w:rsidRPr="004C32A0">
      <w:rPr>
        <w:szCs w:val="20"/>
      </w:rPr>
      <w:t xml:space="preserve"> (Accredited with ‘</w:t>
    </w:r>
    <w:r w:rsidR="00A66002">
      <w:rPr>
        <w:szCs w:val="20"/>
      </w:rPr>
      <w:t>B</w:t>
    </w:r>
    <w:r w:rsidR="00A66002" w:rsidRPr="00947811">
      <w:rPr>
        <w:szCs w:val="20"/>
        <w:vertAlign w:val="superscript"/>
      </w:rPr>
      <w:t>+</w:t>
    </w:r>
    <w:r w:rsidR="00A66002" w:rsidRPr="004C32A0">
      <w:rPr>
        <w:szCs w:val="20"/>
      </w:rPr>
      <w:t>’ Grade by NAAC )</w:t>
    </w:r>
    <w:r w:rsidR="00A66002" w:rsidRPr="004C32A0">
      <w:rPr>
        <w:szCs w:val="20"/>
      </w:rPr>
      <w:cr/>
    </w:r>
    <w:r w:rsidR="00A66002" w:rsidRPr="004C32A0">
      <w:rPr>
        <w:b/>
        <w:color w:val="1F3864" w:themeColor="accent1" w:themeShade="80"/>
        <w:sz w:val="28"/>
        <w:szCs w:val="20"/>
      </w:rPr>
      <w:t>INTERNAL QUALITY ASSURANCE CELL (IQAC)</w:t>
    </w:r>
    <w:r w:rsidR="00A66002" w:rsidRPr="004C32A0">
      <w:rPr>
        <w:color w:val="1F3864" w:themeColor="accent1" w:themeShade="80"/>
        <w:sz w:val="28"/>
        <w:szCs w:val="20"/>
      </w:rPr>
      <w:cr/>
    </w:r>
  </w:p>
  <w:p w14:paraId="0B356475" w14:textId="4D49D5DD" w:rsidR="00A66002" w:rsidRDefault="00A660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03"/>
    <w:rsid w:val="000F37E9"/>
    <w:rsid w:val="001D0E0F"/>
    <w:rsid w:val="002226FA"/>
    <w:rsid w:val="002A45AE"/>
    <w:rsid w:val="002F290D"/>
    <w:rsid w:val="003B3FD7"/>
    <w:rsid w:val="003C68D5"/>
    <w:rsid w:val="004A70DA"/>
    <w:rsid w:val="00530046"/>
    <w:rsid w:val="005C7FE8"/>
    <w:rsid w:val="005E62DD"/>
    <w:rsid w:val="006402B8"/>
    <w:rsid w:val="00685AE5"/>
    <w:rsid w:val="007034F1"/>
    <w:rsid w:val="00A66002"/>
    <w:rsid w:val="00B54803"/>
    <w:rsid w:val="00BB31C1"/>
    <w:rsid w:val="00C110E1"/>
    <w:rsid w:val="00C24D14"/>
    <w:rsid w:val="00D41870"/>
    <w:rsid w:val="00DA7BB8"/>
    <w:rsid w:val="00E85BB7"/>
    <w:rsid w:val="00F178A5"/>
    <w:rsid w:val="00F6657B"/>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50CC0"/>
  <w15:chartTrackingRefBased/>
  <w15:docId w15:val="{6CE2311D-A3A0-453B-B54D-0B7BFB51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48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48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480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480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480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48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48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48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48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80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480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480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48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48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48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48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48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4803"/>
    <w:rPr>
      <w:rFonts w:eastAsiaTheme="majorEastAsia" w:cstheme="majorBidi"/>
      <w:color w:val="272727" w:themeColor="text1" w:themeTint="D8"/>
    </w:rPr>
  </w:style>
  <w:style w:type="paragraph" w:styleId="Title">
    <w:name w:val="Title"/>
    <w:basedOn w:val="Normal"/>
    <w:next w:val="Normal"/>
    <w:link w:val="TitleChar"/>
    <w:uiPriority w:val="10"/>
    <w:qFormat/>
    <w:rsid w:val="00B548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48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48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48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4803"/>
    <w:pPr>
      <w:spacing w:before="160"/>
      <w:jc w:val="center"/>
    </w:pPr>
    <w:rPr>
      <w:i/>
      <w:iCs/>
      <w:color w:val="404040" w:themeColor="text1" w:themeTint="BF"/>
    </w:rPr>
  </w:style>
  <w:style w:type="character" w:customStyle="1" w:styleId="QuoteChar">
    <w:name w:val="Quote Char"/>
    <w:basedOn w:val="DefaultParagraphFont"/>
    <w:link w:val="Quote"/>
    <w:uiPriority w:val="29"/>
    <w:rsid w:val="00B54803"/>
    <w:rPr>
      <w:i/>
      <w:iCs/>
      <w:color w:val="404040" w:themeColor="text1" w:themeTint="BF"/>
    </w:rPr>
  </w:style>
  <w:style w:type="paragraph" w:styleId="ListParagraph">
    <w:name w:val="List Paragraph"/>
    <w:basedOn w:val="Normal"/>
    <w:uiPriority w:val="34"/>
    <w:qFormat/>
    <w:rsid w:val="00B54803"/>
    <w:pPr>
      <w:ind w:left="720"/>
      <w:contextualSpacing/>
    </w:pPr>
  </w:style>
  <w:style w:type="character" w:styleId="IntenseEmphasis">
    <w:name w:val="Intense Emphasis"/>
    <w:basedOn w:val="DefaultParagraphFont"/>
    <w:uiPriority w:val="21"/>
    <w:qFormat/>
    <w:rsid w:val="00B54803"/>
    <w:rPr>
      <w:i/>
      <w:iCs/>
      <w:color w:val="2F5496" w:themeColor="accent1" w:themeShade="BF"/>
    </w:rPr>
  </w:style>
  <w:style w:type="paragraph" w:styleId="IntenseQuote">
    <w:name w:val="Intense Quote"/>
    <w:basedOn w:val="Normal"/>
    <w:next w:val="Normal"/>
    <w:link w:val="IntenseQuoteChar"/>
    <w:uiPriority w:val="30"/>
    <w:qFormat/>
    <w:rsid w:val="00B548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4803"/>
    <w:rPr>
      <w:i/>
      <w:iCs/>
      <w:color w:val="2F5496" w:themeColor="accent1" w:themeShade="BF"/>
    </w:rPr>
  </w:style>
  <w:style w:type="character" w:styleId="IntenseReference">
    <w:name w:val="Intense Reference"/>
    <w:basedOn w:val="DefaultParagraphFont"/>
    <w:uiPriority w:val="32"/>
    <w:qFormat/>
    <w:rsid w:val="00B54803"/>
    <w:rPr>
      <w:b/>
      <w:bCs/>
      <w:smallCaps/>
      <w:color w:val="2F5496" w:themeColor="accent1" w:themeShade="BF"/>
      <w:spacing w:val="5"/>
    </w:rPr>
  </w:style>
  <w:style w:type="paragraph" w:styleId="Header">
    <w:name w:val="header"/>
    <w:basedOn w:val="Normal"/>
    <w:link w:val="HeaderChar"/>
    <w:uiPriority w:val="99"/>
    <w:unhideWhenUsed/>
    <w:rsid w:val="003C68D5"/>
    <w:pPr>
      <w:tabs>
        <w:tab w:val="center" w:pos="4513"/>
        <w:tab w:val="right" w:pos="9026"/>
      </w:tabs>
      <w:spacing w:after="0" w:line="240" w:lineRule="auto"/>
    </w:pPr>
    <w:rPr>
      <w14:ligatures w14:val="none"/>
    </w:rPr>
  </w:style>
  <w:style w:type="character" w:customStyle="1" w:styleId="HeaderChar">
    <w:name w:val="Header Char"/>
    <w:basedOn w:val="DefaultParagraphFont"/>
    <w:link w:val="Header"/>
    <w:uiPriority w:val="99"/>
    <w:rsid w:val="003C68D5"/>
    <w:rPr>
      <w14:ligatures w14:val="none"/>
    </w:rPr>
  </w:style>
  <w:style w:type="paragraph" w:styleId="Footer">
    <w:name w:val="footer"/>
    <w:basedOn w:val="Normal"/>
    <w:link w:val="FooterChar"/>
    <w:uiPriority w:val="99"/>
    <w:unhideWhenUsed/>
    <w:rsid w:val="00A660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002"/>
  </w:style>
  <w:style w:type="paragraph" w:styleId="NormalWeb">
    <w:name w:val="Normal (Web)"/>
    <w:basedOn w:val="Normal"/>
    <w:uiPriority w:val="99"/>
    <w:semiHidden/>
    <w:unhideWhenUsed/>
    <w:rsid w:val="002A45A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843</Words>
  <Characters>4808</Characters>
  <Application>Microsoft Office Word</Application>
  <DocSecurity>0</DocSecurity>
  <Lines>40</Lines>
  <Paragraphs>11</Paragraphs>
  <ScaleCrop>false</ScaleCrop>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BENAZEER SHAIK</dc:creator>
  <cp:keywords/>
  <dc:description/>
  <cp:lastModifiedBy>BENAZEER SHAIK</cp:lastModifiedBy>
  <cp:revision>18</cp:revision>
  <dcterms:created xsi:type="dcterms:W3CDTF">2026-02-26T10:40:00Z</dcterms:created>
  <dcterms:modified xsi:type="dcterms:W3CDTF">2026-02-26T11:07:00Z</dcterms:modified>
</cp:coreProperties>
</file>